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5A" w:rsidRPr="00967B5A" w:rsidRDefault="00967B5A" w:rsidP="00967B5A">
      <w:pPr>
        <w:spacing w:after="0"/>
        <w:ind w:firstLine="720"/>
        <w:jc w:val="right"/>
        <w:rPr>
          <w:rFonts w:ascii="Times New Roman" w:eastAsia="Times New Roman" w:hAnsi="Times New Roman" w:cs="Times New Roman"/>
          <w:sz w:val="20"/>
          <w:szCs w:val="24"/>
          <w:lang w:eastAsia="lv-LV"/>
        </w:rPr>
      </w:pPr>
      <w:r w:rsidRPr="00967B5A">
        <w:rPr>
          <w:rFonts w:ascii="Times New Roman" w:eastAsia="Times New Roman" w:hAnsi="Times New Roman" w:cs="Times New Roman"/>
          <w:sz w:val="20"/>
          <w:szCs w:val="24"/>
          <w:lang w:eastAsia="lv-LV"/>
        </w:rPr>
        <w:t>PIELIKUMS Nr.2</w:t>
      </w:r>
    </w:p>
    <w:p w:rsidR="00967B5A" w:rsidRPr="00967B5A" w:rsidRDefault="00967B5A" w:rsidP="00967B5A">
      <w:pPr>
        <w:spacing w:after="0"/>
        <w:ind w:firstLine="720"/>
        <w:jc w:val="right"/>
        <w:rPr>
          <w:rFonts w:ascii="Times New Roman" w:eastAsia="Times New Roman" w:hAnsi="Times New Roman" w:cs="Times New Roman"/>
          <w:sz w:val="20"/>
          <w:szCs w:val="24"/>
          <w:lang w:eastAsia="lv-LV"/>
        </w:rPr>
      </w:pPr>
      <w:r w:rsidRPr="00967B5A">
        <w:rPr>
          <w:rFonts w:ascii="Times New Roman" w:eastAsia="Times New Roman" w:hAnsi="Times New Roman" w:cs="Times New Roman"/>
          <w:sz w:val="20"/>
          <w:szCs w:val="24"/>
          <w:lang w:eastAsia="lv-LV"/>
        </w:rPr>
        <w:t>Rojas novada domes 16.06.2015. lēmumam Nr.137</w:t>
      </w:r>
    </w:p>
    <w:p w:rsidR="00967B5A" w:rsidRPr="00967B5A" w:rsidRDefault="00967B5A" w:rsidP="00967B5A">
      <w:pPr>
        <w:tabs>
          <w:tab w:val="center" w:pos="4676"/>
        </w:tabs>
        <w:suppressAutoHyphens/>
        <w:spacing w:after="0" w:line="100" w:lineRule="atLeast"/>
        <w:jc w:val="right"/>
        <w:rPr>
          <w:rFonts w:ascii="Times New Roman" w:eastAsia="Times New Roman" w:hAnsi="Times New Roman" w:cs="Times New Roman"/>
          <w:b/>
          <w:bCs/>
          <w:kern w:val="1"/>
          <w:sz w:val="28"/>
          <w:szCs w:val="28"/>
          <w:lang w:eastAsia="ar-SA"/>
        </w:rPr>
      </w:pPr>
      <w:r w:rsidRPr="00967B5A">
        <w:rPr>
          <w:rFonts w:ascii="Times New Roman" w:eastAsia="Times New Roman" w:hAnsi="Times New Roman" w:cs="Times New Roman"/>
          <w:bCs/>
          <w:sz w:val="20"/>
          <w:szCs w:val="24"/>
          <w:lang w:eastAsia="lv-LV"/>
        </w:rPr>
        <w:t>„Par saistošo noteikumu Nr.6/2015 precizēšanu”</w:t>
      </w:r>
    </w:p>
    <w:p w:rsidR="00967B5A" w:rsidRPr="00967B5A" w:rsidRDefault="00967B5A" w:rsidP="00967B5A">
      <w:pPr>
        <w:tabs>
          <w:tab w:val="center" w:pos="4676"/>
        </w:tabs>
        <w:suppressAutoHyphens/>
        <w:spacing w:after="0" w:line="100" w:lineRule="atLeast"/>
        <w:jc w:val="center"/>
        <w:rPr>
          <w:rFonts w:ascii="Times New Roman" w:eastAsia="Times New Roman" w:hAnsi="Times New Roman" w:cs="Times New Roman"/>
          <w:b/>
          <w:bCs/>
          <w:kern w:val="1"/>
          <w:sz w:val="24"/>
          <w:szCs w:val="24"/>
          <w:lang w:eastAsia="ar-SA"/>
        </w:rPr>
      </w:pPr>
      <w:r w:rsidRPr="00967B5A">
        <w:rPr>
          <w:rFonts w:ascii="Times New Roman" w:eastAsia="Times New Roman" w:hAnsi="Times New Roman" w:cs="Times New Roman"/>
          <w:b/>
          <w:bCs/>
          <w:noProof/>
          <w:kern w:val="1"/>
          <w:sz w:val="24"/>
          <w:szCs w:val="20"/>
          <w:lang w:eastAsia="lv-LV"/>
        </w:rPr>
        <w:drawing>
          <wp:anchor distT="0" distB="0" distL="114300" distR="114300" simplePos="0" relativeHeight="251659264" behindDoc="0" locked="0" layoutInCell="1" allowOverlap="1" wp14:anchorId="217B4DF0" wp14:editId="1269C0D0">
            <wp:simplePos x="0" y="0"/>
            <wp:positionH relativeFrom="column">
              <wp:posOffset>2567940</wp:posOffset>
            </wp:positionH>
            <wp:positionV relativeFrom="paragraph">
              <wp:posOffset>81280</wp:posOffset>
            </wp:positionV>
            <wp:extent cx="733425" cy="838200"/>
            <wp:effectExtent l="0" t="0" r="9525" b="0"/>
            <wp:wrapTopAndBottom/>
            <wp:docPr id="1" name="Attēls 1"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jas_novad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B5A">
        <w:rPr>
          <w:rFonts w:ascii="Times New Roman" w:eastAsia="Times New Roman" w:hAnsi="Times New Roman" w:cs="Times New Roman"/>
          <w:b/>
          <w:bCs/>
          <w:kern w:val="1"/>
          <w:sz w:val="24"/>
          <w:szCs w:val="28"/>
          <w:lang w:eastAsia="ar-SA"/>
        </w:rPr>
        <w:t>ROJAS NOVADA DOME</w:t>
      </w:r>
    </w:p>
    <w:p w:rsidR="00967B5A" w:rsidRPr="00967B5A" w:rsidRDefault="00967B5A" w:rsidP="00967B5A">
      <w:pPr>
        <w:suppressAutoHyphens/>
        <w:spacing w:after="0" w:line="100" w:lineRule="atLeast"/>
        <w:jc w:val="center"/>
        <w:rPr>
          <w:rFonts w:ascii="Times New Roman" w:eastAsia="Times New Roman" w:hAnsi="Times New Roman" w:cs="Times New Roman"/>
          <w:kern w:val="1"/>
          <w:sz w:val="20"/>
          <w:szCs w:val="20"/>
          <w:lang w:eastAsia="ar-SA"/>
        </w:rPr>
      </w:pPr>
      <w:proofErr w:type="spellStart"/>
      <w:r w:rsidRPr="00967B5A">
        <w:rPr>
          <w:rFonts w:ascii="Times New Roman" w:eastAsia="Times New Roman" w:hAnsi="Times New Roman" w:cs="Times New Roman"/>
          <w:kern w:val="1"/>
          <w:sz w:val="20"/>
          <w:szCs w:val="20"/>
          <w:lang w:eastAsia="ar-SA"/>
        </w:rPr>
        <w:t>Reģ</w:t>
      </w:r>
      <w:proofErr w:type="spellEnd"/>
      <w:r w:rsidRPr="00967B5A">
        <w:rPr>
          <w:rFonts w:ascii="Times New Roman" w:eastAsia="Times New Roman" w:hAnsi="Times New Roman" w:cs="Times New Roman"/>
          <w:kern w:val="1"/>
          <w:sz w:val="20"/>
          <w:szCs w:val="20"/>
          <w:lang w:eastAsia="ar-SA"/>
        </w:rPr>
        <w:t>. Nr. 90002644930</w:t>
      </w:r>
    </w:p>
    <w:p w:rsidR="00967B5A" w:rsidRPr="00967B5A" w:rsidRDefault="00967B5A" w:rsidP="00967B5A">
      <w:pPr>
        <w:suppressAutoHyphens/>
        <w:spacing w:after="0" w:line="100" w:lineRule="atLeast"/>
        <w:jc w:val="center"/>
        <w:rPr>
          <w:rFonts w:ascii="Times New Roman" w:eastAsia="Times New Roman" w:hAnsi="Times New Roman" w:cs="Times New Roman"/>
          <w:kern w:val="1"/>
          <w:sz w:val="20"/>
          <w:szCs w:val="20"/>
          <w:lang w:eastAsia="ar-SA"/>
        </w:rPr>
      </w:pPr>
      <w:r w:rsidRPr="00967B5A">
        <w:rPr>
          <w:rFonts w:ascii="Times New Roman" w:eastAsia="Times New Roman" w:hAnsi="Times New Roman" w:cs="Times New Roman"/>
          <w:kern w:val="1"/>
          <w:sz w:val="20"/>
          <w:szCs w:val="20"/>
          <w:lang w:eastAsia="ar-SA"/>
        </w:rPr>
        <w:t>Zvejnieku iela 3, Roja, Rojas novads, Latvija, LV - 3264</w:t>
      </w:r>
    </w:p>
    <w:p w:rsidR="00967B5A" w:rsidRPr="00967B5A" w:rsidRDefault="00967B5A" w:rsidP="00967B5A">
      <w:pPr>
        <w:pBdr>
          <w:bottom w:val="single" w:sz="8" w:space="6" w:color="000000"/>
        </w:pBdr>
        <w:suppressAutoHyphens/>
        <w:spacing w:after="0" w:line="100" w:lineRule="atLeast"/>
        <w:jc w:val="center"/>
        <w:rPr>
          <w:rFonts w:ascii="Times New Roman" w:eastAsia="Times New Roman" w:hAnsi="Times New Roman" w:cs="Times New Roman"/>
          <w:kern w:val="1"/>
          <w:sz w:val="20"/>
          <w:szCs w:val="20"/>
          <w:lang w:eastAsia="ar-SA"/>
        </w:rPr>
      </w:pPr>
      <w:r w:rsidRPr="00967B5A">
        <w:rPr>
          <w:rFonts w:ascii="Times New Roman" w:eastAsia="Times New Roman" w:hAnsi="Times New Roman" w:cs="Times New Roman"/>
          <w:kern w:val="1"/>
          <w:sz w:val="20"/>
          <w:szCs w:val="20"/>
          <w:lang w:eastAsia="ar-SA"/>
        </w:rPr>
        <w:t>Tālrunis: +371 63232050, fakss: +371 63232054, e - pasts: roja@roja.lv</w:t>
      </w:r>
    </w:p>
    <w:p w:rsidR="00967B5A" w:rsidRPr="00967B5A" w:rsidRDefault="00967B5A" w:rsidP="00967B5A">
      <w:pPr>
        <w:suppressAutoHyphens/>
        <w:spacing w:after="0" w:line="100" w:lineRule="atLeast"/>
        <w:jc w:val="center"/>
        <w:rPr>
          <w:rFonts w:ascii="Times New Roman" w:eastAsia="Times New Roman" w:hAnsi="Times New Roman" w:cs="Times New Roman"/>
          <w:b/>
          <w:kern w:val="1"/>
          <w:sz w:val="28"/>
          <w:szCs w:val="28"/>
          <w:lang w:eastAsia="ar-SA"/>
        </w:rPr>
      </w:pPr>
    </w:p>
    <w:p w:rsidR="00967B5A" w:rsidRPr="00967B5A" w:rsidRDefault="00967B5A" w:rsidP="00967B5A">
      <w:pPr>
        <w:suppressAutoHyphens/>
        <w:spacing w:after="0" w:line="100" w:lineRule="atLeast"/>
        <w:jc w:val="center"/>
        <w:rPr>
          <w:rFonts w:ascii="Times New Roman" w:eastAsia="Times New Roman" w:hAnsi="Times New Roman" w:cs="Times New Roman"/>
          <w:b/>
          <w:kern w:val="1"/>
          <w:sz w:val="28"/>
          <w:szCs w:val="28"/>
          <w:lang w:eastAsia="ar-SA"/>
        </w:rPr>
      </w:pPr>
      <w:r w:rsidRPr="00967B5A">
        <w:rPr>
          <w:rFonts w:ascii="Times New Roman" w:eastAsia="Times New Roman" w:hAnsi="Times New Roman" w:cs="Times New Roman"/>
          <w:b/>
          <w:kern w:val="1"/>
          <w:sz w:val="28"/>
          <w:szCs w:val="28"/>
          <w:lang w:eastAsia="ar-SA"/>
        </w:rPr>
        <w:t>SAISTOŠIE NOTEIKUMI</w:t>
      </w:r>
    </w:p>
    <w:p w:rsidR="00967B5A" w:rsidRPr="00967B5A" w:rsidRDefault="00967B5A" w:rsidP="00967B5A">
      <w:pPr>
        <w:suppressAutoHyphens/>
        <w:spacing w:after="0" w:line="100" w:lineRule="atLeast"/>
        <w:jc w:val="center"/>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Rojas novadā</w:t>
      </w:r>
    </w:p>
    <w:p w:rsidR="00967B5A" w:rsidRPr="00967B5A" w:rsidRDefault="00967B5A" w:rsidP="00967B5A">
      <w:pPr>
        <w:suppressAutoHyphens/>
        <w:spacing w:after="0" w:line="100" w:lineRule="atLeast"/>
        <w:jc w:val="both"/>
        <w:rPr>
          <w:rFonts w:ascii="Times New Roman" w:eastAsia="Times New Roman" w:hAnsi="Times New Roman" w:cs="Times New Roman"/>
          <w:kern w:val="1"/>
          <w:sz w:val="24"/>
          <w:szCs w:val="24"/>
          <w:lang w:eastAsia="ar-SA"/>
        </w:rPr>
      </w:pPr>
    </w:p>
    <w:p w:rsidR="00967B5A" w:rsidRPr="00967B5A" w:rsidRDefault="00967B5A" w:rsidP="00967B5A">
      <w:pPr>
        <w:keepNext/>
        <w:spacing w:after="0" w:line="240" w:lineRule="auto"/>
        <w:jc w:val="right"/>
        <w:outlineLvl w:val="3"/>
        <w:rPr>
          <w:rFonts w:ascii="Times New Roman" w:eastAsia="Arial Unicode MS" w:hAnsi="Times New Roman" w:cs="Times New Roman"/>
          <w:b/>
          <w:sz w:val="24"/>
          <w:szCs w:val="24"/>
        </w:rPr>
      </w:pPr>
      <w:r w:rsidRPr="00967B5A">
        <w:rPr>
          <w:rFonts w:ascii="Times New Roman" w:eastAsia="Arial Unicode MS" w:hAnsi="Times New Roman" w:cs="Times New Roman"/>
          <w:b/>
          <w:bCs/>
          <w:sz w:val="24"/>
          <w:szCs w:val="24"/>
          <w:lang w:val="x-none"/>
        </w:rPr>
        <w:tab/>
      </w:r>
      <w:r w:rsidRPr="00967B5A">
        <w:rPr>
          <w:rFonts w:ascii="Times New Roman" w:eastAsia="Arial Unicode MS" w:hAnsi="Times New Roman" w:cs="Times New Roman"/>
          <w:b/>
          <w:bCs/>
          <w:sz w:val="24"/>
          <w:szCs w:val="24"/>
          <w:lang w:val="x-none"/>
        </w:rPr>
        <w:tab/>
      </w:r>
      <w:r w:rsidRPr="00967B5A">
        <w:rPr>
          <w:rFonts w:ascii="Times New Roman" w:eastAsia="Arial Unicode MS" w:hAnsi="Times New Roman" w:cs="Times New Roman"/>
          <w:b/>
          <w:bCs/>
          <w:sz w:val="24"/>
          <w:szCs w:val="24"/>
          <w:lang w:val="x-none"/>
        </w:rPr>
        <w:tab/>
      </w:r>
      <w:r w:rsidRPr="00967B5A">
        <w:rPr>
          <w:rFonts w:ascii="Times New Roman" w:eastAsia="Arial Unicode MS" w:hAnsi="Times New Roman" w:cs="Times New Roman"/>
          <w:b/>
          <w:bCs/>
          <w:sz w:val="24"/>
          <w:szCs w:val="24"/>
          <w:lang w:val="x-none"/>
        </w:rPr>
        <w:tab/>
      </w:r>
      <w:r w:rsidRPr="00967B5A">
        <w:rPr>
          <w:rFonts w:ascii="Times New Roman" w:eastAsia="Arial Unicode MS" w:hAnsi="Times New Roman" w:cs="Times New Roman"/>
          <w:b/>
          <w:bCs/>
          <w:sz w:val="24"/>
          <w:szCs w:val="24"/>
          <w:lang w:val="x-none"/>
        </w:rPr>
        <w:tab/>
      </w:r>
      <w:r w:rsidRPr="00967B5A">
        <w:rPr>
          <w:rFonts w:ascii="Times New Roman" w:eastAsia="Arial Unicode MS" w:hAnsi="Times New Roman" w:cs="Times New Roman"/>
          <w:b/>
          <w:sz w:val="24"/>
          <w:szCs w:val="24"/>
          <w:lang w:val="x-none"/>
        </w:rPr>
        <w:t>Nr.</w:t>
      </w:r>
      <w:r w:rsidRPr="00967B5A">
        <w:rPr>
          <w:rFonts w:ascii="Times New Roman" w:eastAsia="Arial Unicode MS" w:hAnsi="Times New Roman" w:cs="Times New Roman"/>
          <w:b/>
          <w:sz w:val="24"/>
          <w:szCs w:val="24"/>
        </w:rPr>
        <w:t>6</w:t>
      </w:r>
      <w:r w:rsidRPr="00967B5A">
        <w:rPr>
          <w:rFonts w:ascii="Times New Roman" w:eastAsia="Arial Unicode MS" w:hAnsi="Times New Roman" w:cs="Times New Roman"/>
          <w:b/>
          <w:sz w:val="24"/>
          <w:szCs w:val="24"/>
          <w:lang w:val="x-none"/>
        </w:rPr>
        <w:t>/201</w:t>
      </w:r>
      <w:r w:rsidRPr="00967B5A">
        <w:rPr>
          <w:rFonts w:ascii="Times New Roman" w:eastAsia="Arial Unicode MS" w:hAnsi="Times New Roman" w:cs="Times New Roman"/>
          <w:b/>
          <w:sz w:val="24"/>
          <w:szCs w:val="24"/>
        </w:rPr>
        <w:t>5</w:t>
      </w:r>
    </w:p>
    <w:p w:rsidR="00967B5A" w:rsidRPr="00967B5A" w:rsidRDefault="00967B5A" w:rsidP="00967B5A">
      <w:pPr>
        <w:suppressAutoHyphens/>
        <w:spacing w:after="0" w:line="100" w:lineRule="atLeast"/>
        <w:rPr>
          <w:rFonts w:ascii="Times New Roman" w:eastAsia="Times New Roman" w:hAnsi="Times New Roman" w:cs="Times New Roman"/>
          <w:kern w:val="1"/>
          <w:sz w:val="24"/>
          <w:szCs w:val="24"/>
        </w:rPr>
      </w:pPr>
    </w:p>
    <w:p w:rsidR="00967B5A" w:rsidRPr="00967B5A" w:rsidRDefault="00967B5A" w:rsidP="00967B5A">
      <w:pPr>
        <w:suppressAutoHyphens/>
        <w:spacing w:after="0" w:line="100" w:lineRule="atLeast"/>
        <w:jc w:val="right"/>
        <w:rPr>
          <w:rFonts w:ascii="Times New Roman" w:eastAsia="Times New Roman" w:hAnsi="Times New Roman" w:cs="Times New Roman"/>
          <w:b/>
          <w:kern w:val="1"/>
          <w:sz w:val="24"/>
          <w:szCs w:val="24"/>
          <w:lang w:eastAsia="ar-SA"/>
        </w:rPr>
      </w:pPr>
      <w:r w:rsidRPr="00967B5A">
        <w:rPr>
          <w:rFonts w:ascii="Times New Roman" w:eastAsia="Times New Roman" w:hAnsi="Times New Roman" w:cs="Times New Roman"/>
          <w:b/>
          <w:caps/>
          <w:kern w:val="1"/>
          <w:sz w:val="24"/>
          <w:szCs w:val="24"/>
          <w:lang w:eastAsia="ar-SA"/>
        </w:rPr>
        <w:t>Apstiprināts</w:t>
      </w:r>
    </w:p>
    <w:p w:rsidR="00967B5A" w:rsidRPr="00967B5A" w:rsidRDefault="00967B5A" w:rsidP="00967B5A">
      <w:pPr>
        <w:suppressAutoHyphens/>
        <w:spacing w:after="0" w:line="100" w:lineRule="atLeast"/>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ar Rojas novada domes</w:t>
      </w:r>
    </w:p>
    <w:p w:rsidR="00967B5A" w:rsidRPr="00967B5A" w:rsidRDefault="00967B5A" w:rsidP="00967B5A">
      <w:pPr>
        <w:suppressAutoHyphens/>
        <w:spacing w:after="0" w:line="100" w:lineRule="atLeast"/>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2015.gada 21.aprīļa</w:t>
      </w:r>
    </w:p>
    <w:p w:rsidR="00967B5A" w:rsidRPr="00967B5A" w:rsidRDefault="00967B5A" w:rsidP="00967B5A">
      <w:pPr>
        <w:suppressAutoHyphens/>
        <w:spacing w:after="0" w:line="100" w:lineRule="atLeast"/>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 xml:space="preserve">sēdes lēmumu Nr.75 (protokols Nr.4), </w:t>
      </w:r>
    </w:p>
    <w:p w:rsidR="00967B5A" w:rsidRPr="00967B5A" w:rsidRDefault="00967B5A" w:rsidP="00967B5A">
      <w:pPr>
        <w:suppressAutoHyphens/>
        <w:spacing w:after="0" w:line="100" w:lineRule="atLeast"/>
        <w:ind w:left="3545" w:firstLine="709"/>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b/>
          <w:kern w:val="1"/>
          <w:sz w:val="24"/>
          <w:szCs w:val="24"/>
          <w:lang w:eastAsia="ar-SA"/>
        </w:rPr>
        <w:t>precizēti</w:t>
      </w:r>
      <w:r w:rsidRPr="00967B5A">
        <w:rPr>
          <w:rFonts w:ascii="Times New Roman" w:eastAsia="Times New Roman" w:hAnsi="Times New Roman" w:cs="Times New Roman"/>
          <w:kern w:val="1"/>
          <w:sz w:val="24"/>
          <w:szCs w:val="24"/>
          <w:lang w:eastAsia="ar-SA"/>
        </w:rPr>
        <w:t xml:space="preserve"> </w:t>
      </w:r>
    </w:p>
    <w:p w:rsidR="00967B5A" w:rsidRPr="00967B5A" w:rsidRDefault="00967B5A" w:rsidP="00967B5A">
      <w:pPr>
        <w:suppressAutoHyphens/>
        <w:spacing w:after="0" w:line="100" w:lineRule="atLeast"/>
        <w:ind w:left="3545" w:firstLine="709"/>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ar Rojas novada domes</w:t>
      </w:r>
    </w:p>
    <w:p w:rsidR="00967B5A" w:rsidRPr="00967B5A" w:rsidRDefault="00967B5A" w:rsidP="00967B5A">
      <w:pPr>
        <w:suppressAutoHyphens/>
        <w:spacing w:after="0" w:line="100" w:lineRule="atLeast"/>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 xml:space="preserve">2015.gada </w:t>
      </w:r>
      <w:r w:rsidR="00FA54F5">
        <w:rPr>
          <w:rFonts w:ascii="Times New Roman" w:eastAsia="Times New Roman" w:hAnsi="Times New Roman" w:cs="Times New Roman"/>
          <w:kern w:val="1"/>
          <w:sz w:val="24"/>
          <w:szCs w:val="24"/>
          <w:lang w:eastAsia="ar-SA"/>
        </w:rPr>
        <w:t>16.jūnija</w:t>
      </w:r>
    </w:p>
    <w:p w:rsidR="00967B5A" w:rsidRPr="00967B5A" w:rsidRDefault="00967B5A" w:rsidP="00967B5A">
      <w:pPr>
        <w:suppressAutoHyphens/>
        <w:spacing w:after="0" w:line="100" w:lineRule="atLeast"/>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sēdes lēmumu Nr.137</w:t>
      </w:r>
    </w:p>
    <w:p w:rsidR="00967B5A" w:rsidRPr="00967B5A" w:rsidRDefault="00967B5A" w:rsidP="00967B5A">
      <w:pPr>
        <w:suppressAutoHyphens/>
        <w:spacing w:after="0" w:line="100" w:lineRule="atLeast"/>
        <w:jc w:val="right"/>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(protokols Nr.6)</w:t>
      </w:r>
    </w:p>
    <w:p w:rsidR="00967B5A" w:rsidRPr="00967B5A" w:rsidRDefault="00967B5A" w:rsidP="00967B5A">
      <w:pPr>
        <w:suppressAutoHyphens/>
        <w:spacing w:after="0" w:line="100" w:lineRule="atLeast"/>
        <w:jc w:val="right"/>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line="100" w:lineRule="atLeast"/>
        <w:jc w:val="center"/>
        <w:rPr>
          <w:rFonts w:ascii="Times New Roman" w:eastAsia="Times New Roman" w:hAnsi="Times New Roman" w:cs="Times New Roman"/>
          <w:b/>
          <w:bCs/>
          <w:iCs/>
          <w:kern w:val="1"/>
          <w:sz w:val="28"/>
          <w:szCs w:val="28"/>
          <w:lang w:eastAsia="ar-SA"/>
        </w:rPr>
      </w:pPr>
      <w:r w:rsidRPr="00967B5A">
        <w:rPr>
          <w:rFonts w:ascii="Times New Roman" w:eastAsia="Times New Roman" w:hAnsi="Times New Roman" w:cs="Times New Roman"/>
          <w:b/>
          <w:bCs/>
          <w:iCs/>
          <w:kern w:val="1"/>
          <w:sz w:val="28"/>
          <w:szCs w:val="28"/>
          <w:lang w:eastAsia="ar-SA"/>
        </w:rPr>
        <w:t>Par grozījumiem saistošajos noteikumos Nr.2/2009 „Nodeva par būvatļaujas saņemšanu”</w:t>
      </w:r>
    </w:p>
    <w:p w:rsidR="00967B5A" w:rsidRPr="00967B5A" w:rsidRDefault="00967B5A" w:rsidP="00967B5A">
      <w:pPr>
        <w:suppressAutoHyphens/>
        <w:spacing w:after="0" w:line="100" w:lineRule="atLeast"/>
        <w:ind w:left="2160"/>
        <w:rPr>
          <w:rFonts w:ascii="Times New Roman" w:eastAsia="Times New Roman" w:hAnsi="Times New Roman" w:cs="Times New Roman"/>
          <w:i/>
          <w:iCs/>
          <w:kern w:val="1"/>
          <w:sz w:val="24"/>
          <w:szCs w:val="24"/>
          <w:lang w:eastAsia="ar-SA"/>
        </w:rPr>
      </w:pPr>
    </w:p>
    <w:p w:rsidR="00967B5A" w:rsidRPr="00967B5A" w:rsidRDefault="00967B5A" w:rsidP="00967B5A">
      <w:pPr>
        <w:suppressAutoHyphens/>
        <w:spacing w:after="0" w:line="100" w:lineRule="atLeast"/>
        <w:jc w:val="right"/>
        <w:rPr>
          <w:rFonts w:ascii="Times New Roman" w:eastAsia="Times New Roman" w:hAnsi="Times New Roman" w:cs="Times New Roman"/>
          <w:i/>
          <w:iCs/>
          <w:kern w:val="1"/>
          <w:sz w:val="24"/>
          <w:szCs w:val="24"/>
          <w:lang w:eastAsia="ar-SA"/>
        </w:rPr>
      </w:pPr>
      <w:r w:rsidRPr="00967B5A">
        <w:rPr>
          <w:rFonts w:ascii="Times New Roman" w:eastAsia="Times New Roman" w:hAnsi="Times New Roman" w:cs="Times New Roman"/>
          <w:i/>
          <w:iCs/>
          <w:kern w:val="1"/>
          <w:sz w:val="24"/>
          <w:szCs w:val="24"/>
          <w:lang w:eastAsia="ar-SA"/>
        </w:rPr>
        <w:t xml:space="preserve"> Izdoti saskaņā ar likuma „Par pašvaldībām” 14.panta trešo daļu,  </w:t>
      </w:r>
    </w:p>
    <w:p w:rsidR="00967B5A" w:rsidRPr="00967B5A" w:rsidRDefault="00967B5A" w:rsidP="00967B5A">
      <w:pPr>
        <w:suppressAutoHyphens/>
        <w:spacing w:after="0" w:line="100" w:lineRule="atLeast"/>
        <w:jc w:val="right"/>
        <w:rPr>
          <w:rFonts w:ascii="Times New Roman" w:eastAsia="Times New Roman" w:hAnsi="Times New Roman" w:cs="Times New Roman"/>
          <w:i/>
          <w:iCs/>
          <w:kern w:val="1"/>
          <w:sz w:val="24"/>
          <w:szCs w:val="24"/>
          <w:lang w:eastAsia="ar-SA"/>
        </w:rPr>
      </w:pPr>
      <w:r w:rsidRPr="00967B5A">
        <w:rPr>
          <w:rFonts w:ascii="Times New Roman" w:eastAsia="Times New Roman" w:hAnsi="Times New Roman" w:cs="Times New Roman"/>
          <w:i/>
          <w:iCs/>
          <w:kern w:val="1"/>
          <w:sz w:val="24"/>
          <w:szCs w:val="24"/>
          <w:lang w:eastAsia="ar-SA"/>
        </w:rPr>
        <w:t xml:space="preserve">likuma „Par nodokļiem un nodevām” 12.panta pirmās daļas 10.punktu </w:t>
      </w:r>
    </w:p>
    <w:p w:rsidR="00967B5A" w:rsidRPr="00967B5A" w:rsidRDefault="00967B5A" w:rsidP="00967B5A">
      <w:pPr>
        <w:suppressAutoHyphens/>
        <w:spacing w:after="0" w:line="100" w:lineRule="atLeast"/>
        <w:jc w:val="right"/>
        <w:rPr>
          <w:rFonts w:ascii="Times New Roman" w:eastAsia="Times New Roman" w:hAnsi="Times New Roman" w:cs="Times New Roman"/>
          <w:i/>
          <w:iCs/>
          <w:kern w:val="1"/>
          <w:sz w:val="24"/>
          <w:szCs w:val="24"/>
          <w:lang w:eastAsia="ar-SA"/>
        </w:rPr>
      </w:pPr>
      <w:r w:rsidRPr="00967B5A">
        <w:rPr>
          <w:rFonts w:ascii="Times New Roman" w:eastAsia="Times New Roman" w:hAnsi="Times New Roman" w:cs="Times New Roman"/>
          <w:i/>
          <w:iCs/>
          <w:kern w:val="1"/>
          <w:sz w:val="24"/>
          <w:szCs w:val="24"/>
          <w:lang w:eastAsia="ar-SA"/>
        </w:rPr>
        <w:t>un</w:t>
      </w:r>
      <w:r w:rsidRPr="00967B5A">
        <w:rPr>
          <w:rFonts w:ascii="Times New Roman" w:eastAsia="Times New Roman" w:hAnsi="Times New Roman" w:cs="Times New Roman"/>
          <w:b/>
          <w:bCs/>
          <w:i/>
          <w:sz w:val="24"/>
          <w:szCs w:val="24"/>
          <w:lang w:eastAsia="lv-LV"/>
        </w:rPr>
        <w:t xml:space="preserve"> </w:t>
      </w:r>
      <w:r w:rsidRPr="00967B5A">
        <w:rPr>
          <w:rFonts w:ascii="Times New Roman" w:eastAsia="Times New Roman" w:hAnsi="Times New Roman" w:cs="Times New Roman"/>
          <w:bCs/>
          <w:i/>
          <w:iCs/>
          <w:kern w:val="1"/>
          <w:sz w:val="24"/>
          <w:szCs w:val="24"/>
          <w:lang w:eastAsia="ar-SA"/>
        </w:rPr>
        <w:t>Ministru kabineta 28.06.2005. noteikumu Nr.480</w:t>
      </w:r>
      <w:r w:rsidRPr="00967B5A">
        <w:rPr>
          <w:rFonts w:ascii="Times New Roman" w:eastAsia="Times New Roman" w:hAnsi="Times New Roman" w:cs="Times New Roman"/>
          <w:i/>
          <w:iCs/>
          <w:kern w:val="1"/>
          <w:sz w:val="24"/>
          <w:szCs w:val="24"/>
          <w:lang w:eastAsia="ar-SA"/>
        </w:rPr>
        <w:t xml:space="preserve"> „Noteikumi</w:t>
      </w:r>
    </w:p>
    <w:p w:rsidR="00967B5A" w:rsidRPr="00967B5A" w:rsidRDefault="00967B5A" w:rsidP="00967B5A">
      <w:pPr>
        <w:suppressAutoHyphens/>
        <w:spacing w:after="0" w:line="100" w:lineRule="atLeast"/>
        <w:jc w:val="right"/>
        <w:rPr>
          <w:rFonts w:ascii="Times New Roman" w:eastAsia="Times New Roman" w:hAnsi="Times New Roman" w:cs="Times New Roman"/>
          <w:i/>
          <w:iCs/>
          <w:kern w:val="1"/>
          <w:sz w:val="24"/>
          <w:szCs w:val="24"/>
          <w:lang w:eastAsia="ar-SA"/>
        </w:rPr>
      </w:pPr>
      <w:r w:rsidRPr="00967B5A">
        <w:rPr>
          <w:rFonts w:ascii="Times New Roman" w:eastAsia="Times New Roman" w:hAnsi="Times New Roman" w:cs="Times New Roman"/>
          <w:i/>
          <w:iCs/>
          <w:kern w:val="1"/>
          <w:sz w:val="24"/>
          <w:szCs w:val="24"/>
          <w:lang w:eastAsia="ar-SA"/>
        </w:rPr>
        <w:t xml:space="preserve"> par kārtību, kādā pašvaldības var uzlikt pašvaldību nodevas” 15.punktu</w:t>
      </w:r>
    </w:p>
    <w:p w:rsidR="00967B5A" w:rsidRPr="00967B5A" w:rsidRDefault="00967B5A" w:rsidP="00967B5A">
      <w:pPr>
        <w:suppressAutoHyphens/>
        <w:spacing w:after="0" w:line="100" w:lineRule="atLeast"/>
        <w:rPr>
          <w:rFonts w:ascii="Times New Roman" w:eastAsia="Times New Roman" w:hAnsi="Times New Roman" w:cs="Times New Roman"/>
          <w:iCs/>
          <w:kern w:val="1"/>
          <w:sz w:val="24"/>
          <w:szCs w:val="24"/>
          <w:lang w:eastAsia="ar-SA"/>
        </w:rPr>
      </w:pPr>
    </w:p>
    <w:p w:rsidR="00967B5A" w:rsidRPr="00967B5A" w:rsidRDefault="00967B5A" w:rsidP="004E4EC3">
      <w:pPr>
        <w:numPr>
          <w:ilvl w:val="0"/>
          <w:numId w:val="1"/>
        </w:numPr>
        <w:tabs>
          <w:tab w:val="left" w:pos="993"/>
        </w:tabs>
        <w:suppressAutoHyphens/>
        <w:spacing w:after="0" w:line="100" w:lineRule="atLeast"/>
        <w:ind w:left="0"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kern w:val="1"/>
          <w:sz w:val="24"/>
          <w:szCs w:val="24"/>
          <w:lang w:eastAsia="ar-SA"/>
        </w:rPr>
        <w:t xml:space="preserve">Izdarīt Rojas novada pašvaldības 2009.gada 20.janvāra saistošajos noteikumos </w:t>
      </w:r>
      <w:r w:rsidRPr="00967B5A">
        <w:rPr>
          <w:rFonts w:ascii="Times New Roman" w:eastAsia="Times New Roman" w:hAnsi="Times New Roman" w:cs="Times New Roman"/>
          <w:bCs/>
          <w:iCs/>
          <w:kern w:val="1"/>
          <w:sz w:val="24"/>
          <w:szCs w:val="24"/>
          <w:lang w:eastAsia="ar-SA"/>
        </w:rPr>
        <w:t>Nr.2/2009 „Nodeva par būvatļaujas saņemšanu” (publicēti informatīvajā izdevumā „Rojas Novada Vēstis” 2009. gada 13. februārī Nr. 3), šādus grozījumus:</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bCs/>
          <w:i/>
          <w:iCs/>
          <w:kern w:val="1"/>
          <w:sz w:val="24"/>
          <w:szCs w:val="24"/>
          <w:lang w:eastAsia="ar-SA"/>
        </w:rPr>
      </w:pPr>
      <w:r w:rsidRPr="00967B5A">
        <w:rPr>
          <w:rFonts w:ascii="Times New Roman" w:eastAsia="Times New Roman" w:hAnsi="Times New Roman" w:cs="Times New Roman"/>
          <w:b/>
          <w:bCs/>
          <w:iCs/>
          <w:kern w:val="1"/>
          <w:sz w:val="24"/>
          <w:szCs w:val="24"/>
          <w:lang w:eastAsia="ar-SA"/>
        </w:rPr>
        <w:t>1.1.</w:t>
      </w:r>
      <w:r w:rsidRPr="00967B5A">
        <w:rPr>
          <w:rFonts w:ascii="Times New Roman" w:eastAsia="Times New Roman" w:hAnsi="Times New Roman" w:cs="Times New Roman"/>
          <w:bCs/>
          <w:iCs/>
          <w:kern w:val="1"/>
          <w:sz w:val="24"/>
          <w:szCs w:val="24"/>
          <w:lang w:eastAsia="ar-SA"/>
        </w:rPr>
        <w:t xml:space="preserve">Izteikt Rojas novada pašvaldības 2009.gada 20.janvāra saistošo noteikumu Nr.2/2009 „Nodeva par būvatļaujas saņemšanu” izdošanas pamatojumu, šādā redakcijā: </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„Izdoti saskaņā ar likuma „Par pašvaldībām” 14.panta trešo daļu,  likuma „Par nodokļiem un nodevām” 12.panta pirmās daļas 10.punktu un Ministru kabineta 28.06.2005. noteikumu Nr.480 „Noteikumi par kārtību, kādā pašvaldības var uzlikt pašvaldību nodevas” 15.punktu”.</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
          <w:bCs/>
          <w:iCs/>
          <w:kern w:val="1"/>
          <w:sz w:val="24"/>
          <w:szCs w:val="24"/>
          <w:lang w:eastAsia="ar-SA"/>
        </w:rPr>
        <w:t>1.2.</w:t>
      </w:r>
      <w:r w:rsidRPr="00967B5A">
        <w:rPr>
          <w:rFonts w:ascii="Times New Roman" w:eastAsia="Times New Roman" w:hAnsi="Times New Roman" w:cs="Times New Roman"/>
          <w:bCs/>
          <w:iCs/>
          <w:kern w:val="1"/>
          <w:sz w:val="24"/>
          <w:szCs w:val="24"/>
          <w:lang w:eastAsia="ar-SA"/>
        </w:rPr>
        <w:t xml:space="preserve">Izteikt Rojas novada pašvaldības 2009.gada 20.janvāra saistošo noteikumu Nr.2/2009 „Nodeva par būvatļaujas saņemšanu” 1.punktu, šādā redakcijā: </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 Noteikt šādas nodevu likmes par būvatļauju izdošanu: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1547"/>
        <w:gridCol w:w="1978"/>
        <w:gridCol w:w="6"/>
        <w:gridCol w:w="1421"/>
      </w:tblGrid>
      <w:tr w:rsidR="00967B5A" w:rsidRPr="00967B5A" w:rsidTr="006B15AE">
        <w:trPr>
          <w:trHeight w:val="562"/>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lang w:eastAsia="ar-SA"/>
              </w:rPr>
            </w:pPr>
            <w:r w:rsidRPr="00967B5A">
              <w:rPr>
                <w:rFonts w:ascii="Times New Roman" w:eastAsia="Times New Roman" w:hAnsi="Times New Roman" w:cs="Times New Roman"/>
                <w:b/>
                <w:bCs/>
                <w:iCs/>
                <w:kern w:val="1"/>
                <w:sz w:val="24"/>
                <w:szCs w:val="24"/>
                <w:lang w:eastAsia="ar-SA"/>
              </w:rPr>
              <w:t>Būves tips</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lang w:eastAsia="ar-SA"/>
              </w:rPr>
            </w:pPr>
            <w:r w:rsidRPr="00967B5A">
              <w:rPr>
                <w:rFonts w:ascii="Times New Roman" w:eastAsia="Times New Roman" w:hAnsi="Times New Roman" w:cs="Times New Roman"/>
                <w:b/>
                <w:bCs/>
                <w:iCs/>
                <w:kern w:val="1"/>
                <w:sz w:val="24"/>
                <w:szCs w:val="24"/>
                <w:lang w:eastAsia="ar-SA"/>
              </w:rPr>
              <w:t>Platība (m</w:t>
            </w:r>
            <w:r w:rsidRPr="00967B5A">
              <w:rPr>
                <w:rFonts w:ascii="Times New Roman" w:eastAsia="Times New Roman" w:hAnsi="Times New Roman" w:cs="Times New Roman"/>
                <w:b/>
                <w:bCs/>
                <w:iCs/>
                <w:kern w:val="1"/>
                <w:sz w:val="24"/>
                <w:szCs w:val="24"/>
                <w:vertAlign w:val="superscript"/>
                <w:lang w:eastAsia="ar-SA"/>
              </w:rPr>
              <w:t>2</w:t>
            </w:r>
            <w:r w:rsidRPr="00967B5A">
              <w:rPr>
                <w:rFonts w:ascii="Times New Roman" w:eastAsia="Times New Roman" w:hAnsi="Times New Roman" w:cs="Times New Roman"/>
                <w:b/>
                <w:bCs/>
                <w:iCs/>
                <w:kern w:val="1"/>
                <w:sz w:val="24"/>
                <w:szCs w:val="24"/>
                <w:lang w:eastAsia="ar-SA"/>
              </w:rPr>
              <w:t>)/ garums (m)</w:t>
            </w:r>
          </w:p>
        </w:tc>
        <w:tc>
          <w:tcPr>
            <w:tcW w:w="3405" w:type="dxa"/>
            <w:gridSpan w:val="3"/>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lang w:eastAsia="ar-SA"/>
              </w:rPr>
            </w:pPr>
            <w:r w:rsidRPr="00967B5A">
              <w:rPr>
                <w:rFonts w:ascii="Times New Roman" w:eastAsia="Times New Roman" w:hAnsi="Times New Roman" w:cs="Times New Roman"/>
                <w:b/>
                <w:bCs/>
                <w:iCs/>
                <w:kern w:val="1"/>
                <w:sz w:val="24"/>
                <w:szCs w:val="24"/>
                <w:lang w:eastAsia="ar-SA"/>
              </w:rPr>
              <w:t>Likme (EUR)</w:t>
            </w:r>
          </w:p>
        </w:tc>
      </w:tr>
      <w:tr w:rsidR="00967B5A" w:rsidRPr="00967B5A" w:rsidTr="006B15AE">
        <w:tc>
          <w:tcPr>
            <w:tcW w:w="5495" w:type="dxa"/>
            <w:gridSpan w:val="2"/>
            <w:shd w:val="clear" w:color="auto" w:fill="E6E6E6"/>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lang w:eastAsia="ar-SA"/>
              </w:rPr>
            </w:pPr>
            <w:r w:rsidRPr="00967B5A">
              <w:rPr>
                <w:rFonts w:ascii="Times New Roman" w:eastAsia="Times New Roman" w:hAnsi="Times New Roman" w:cs="Times New Roman"/>
                <w:b/>
                <w:bCs/>
                <w:iCs/>
                <w:kern w:val="1"/>
                <w:sz w:val="24"/>
                <w:szCs w:val="24"/>
                <w:lang w:eastAsia="ar-SA"/>
              </w:rPr>
              <w:t>Būvatļaujas saņemšana:</w:t>
            </w:r>
          </w:p>
        </w:tc>
        <w:tc>
          <w:tcPr>
            <w:tcW w:w="1978" w:type="dxa"/>
            <w:shd w:val="clear" w:color="auto" w:fill="E6E6E6"/>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lang w:eastAsia="ar-SA"/>
              </w:rPr>
            </w:pPr>
            <w:r w:rsidRPr="00967B5A">
              <w:rPr>
                <w:rFonts w:ascii="Times New Roman" w:eastAsia="Times New Roman" w:hAnsi="Times New Roman" w:cs="Times New Roman"/>
                <w:b/>
                <w:bCs/>
                <w:iCs/>
                <w:kern w:val="1"/>
                <w:sz w:val="24"/>
                <w:szCs w:val="24"/>
                <w:lang w:eastAsia="ar-SA"/>
              </w:rPr>
              <w:t xml:space="preserve">Fiziskas </w:t>
            </w:r>
            <w:r w:rsidRPr="00967B5A">
              <w:rPr>
                <w:rFonts w:ascii="Times New Roman" w:eastAsia="Times New Roman" w:hAnsi="Times New Roman" w:cs="Times New Roman"/>
                <w:b/>
                <w:bCs/>
                <w:iCs/>
                <w:kern w:val="1"/>
                <w:sz w:val="24"/>
                <w:szCs w:val="24"/>
                <w:lang w:eastAsia="ar-SA"/>
              </w:rPr>
              <w:lastRenderedPageBreak/>
              <w:t>personas</w:t>
            </w:r>
          </w:p>
        </w:tc>
        <w:tc>
          <w:tcPr>
            <w:tcW w:w="1427" w:type="dxa"/>
            <w:gridSpan w:val="2"/>
            <w:shd w:val="clear" w:color="auto" w:fill="E6E6E6"/>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lang w:eastAsia="ar-SA"/>
              </w:rPr>
            </w:pPr>
            <w:r w:rsidRPr="00967B5A">
              <w:rPr>
                <w:rFonts w:ascii="Times New Roman" w:eastAsia="Times New Roman" w:hAnsi="Times New Roman" w:cs="Times New Roman"/>
                <w:b/>
                <w:bCs/>
                <w:iCs/>
                <w:kern w:val="1"/>
                <w:sz w:val="24"/>
                <w:szCs w:val="24"/>
                <w:lang w:eastAsia="ar-SA"/>
              </w:rPr>
              <w:lastRenderedPageBreak/>
              <w:t xml:space="preserve">Juridiskās </w:t>
            </w:r>
            <w:r w:rsidRPr="00967B5A">
              <w:rPr>
                <w:rFonts w:ascii="Times New Roman" w:eastAsia="Times New Roman" w:hAnsi="Times New Roman" w:cs="Times New Roman"/>
                <w:b/>
                <w:bCs/>
                <w:iCs/>
                <w:kern w:val="1"/>
                <w:sz w:val="24"/>
                <w:szCs w:val="24"/>
                <w:lang w:eastAsia="ar-SA"/>
              </w:rPr>
              <w:lastRenderedPageBreak/>
              <w:t>personas</w:t>
            </w:r>
          </w:p>
        </w:tc>
      </w:tr>
      <w:tr w:rsidR="00967B5A" w:rsidRPr="00967B5A" w:rsidTr="006B15AE">
        <w:trPr>
          <w:trHeight w:val="270"/>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lastRenderedPageBreak/>
              <w:t>1.1.Dzīvojamā ēka (t.sk. vasaras māja – brīvdienu māja, viena vai divu dzīvokļu, dvīņu mājas)</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120</w:t>
            </w:r>
          </w:p>
        </w:tc>
        <w:tc>
          <w:tcPr>
            <w:tcW w:w="197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c>
          <w:tcPr>
            <w:tcW w:w="1427"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60,00</w:t>
            </w:r>
          </w:p>
        </w:tc>
      </w:tr>
      <w:tr w:rsidR="00967B5A" w:rsidRPr="00967B5A" w:rsidTr="006B15AE">
        <w:trPr>
          <w:trHeight w:val="165"/>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tc>
      </w:tr>
      <w:tr w:rsidR="00967B5A" w:rsidRPr="00967B5A" w:rsidTr="006B15AE">
        <w:trPr>
          <w:trHeight w:val="96"/>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70,00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140,00</w:t>
            </w:r>
          </w:p>
        </w:tc>
      </w:tr>
      <w:tr w:rsidR="00967B5A" w:rsidRPr="00967B5A" w:rsidTr="006B15AE">
        <w:trPr>
          <w:trHeight w:val="96"/>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1.2.Dārza māja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40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rPr>
          <w:trHeight w:val="300"/>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1.3.Dzīvojamās mājas rekonstrukcija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120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r>
      <w:tr w:rsidR="00967B5A" w:rsidRPr="00967B5A" w:rsidTr="006B15AE">
        <w:trPr>
          <w:trHeight w:val="126"/>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r>
      <w:tr w:rsidR="00967B5A" w:rsidRPr="00967B5A" w:rsidTr="006B15AE">
        <w:trPr>
          <w:trHeight w:val="135"/>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70,00</w:t>
            </w:r>
          </w:p>
        </w:tc>
      </w:tr>
      <w:tr w:rsidR="00967B5A" w:rsidRPr="00967B5A" w:rsidTr="006B15AE">
        <w:trPr>
          <w:trHeight w:val="135"/>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1.4. Dzīvojamās mājas renovācija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70.00</w:t>
            </w:r>
          </w:p>
        </w:tc>
      </w:tr>
      <w:tr w:rsidR="00967B5A" w:rsidRPr="00967B5A" w:rsidTr="006B15AE">
        <w:trPr>
          <w:trHeight w:val="135"/>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1.5. Daudzstāvu daudzdzīvokļu dzīvojamās mājas</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tc>
      </w:tr>
      <w:tr w:rsidR="00967B5A" w:rsidRPr="00967B5A" w:rsidTr="006B15AE">
        <w:trPr>
          <w:trHeight w:val="135"/>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1.6. Daudzstāvu daudzdzīvokļu dzīvojamās mājas renovācija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tc>
      </w:tr>
      <w:tr w:rsidR="00967B5A" w:rsidRPr="00967B5A" w:rsidTr="006B15AE">
        <w:trPr>
          <w:trHeight w:val="150"/>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 xml:space="preserve">1.7.Saimniecības ēka </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60,00</w:t>
            </w:r>
          </w:p>
        </w:tc>
      </w:tr>
      <w:tr w:rsidR="00967B5A" w:rsidRPr="00967B5A" w:rsidTr="006B15AE">
        <w:trPr>
          <w:trHeight w:val="12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100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80,00</w:t>
            </w:r>
          </w:p>
        </w:tc>
      </w:tr>
      <w:tr w:rsidR="00967B5A" w:rsidRPr="00967B5A" w:rsidTr="006B15AE">
        <w:trPr>
          <w:trHeight w:val="180"/>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1.8. Saimniecības ēka rekonstrukcija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r>
      <w:tr w:rsidR="00967B5A" w:rsidRPr="00967B5A" w:rsidTr="006B15AE">
        <w:trPr>
          <w:trHeight w:val="9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100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u w:val="single"/>
                <w:lang w:eastAsia="ar-SA"/>
              </w:rPr>
            </w:pPr>
            <w:r w:rsidRPr="00967B5A">
              <w:rPr>
                <w:rFonts w:ascii="Times New Roman" w:eastAsia="Times New Roman" w:hAnsi="Times New Roman" w:cs="Times New Roman"/>
                <w:b/>
                <w:bCs/>
                <w:iCs/>
                <w:kern w:val="1"/>
                <w:sz w:val="24"/>
                <w:szCs w:val="24"/>
                <w:u w:val="single"/>
                <w:lang w:eastAsia="ar-SA"/>
              </w:rPr>
              <w:t>1.9.Palīgēkas</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1.9.1.šķūnis</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1.9.2.garāža</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1.9.3.klēts</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1.9.4. pirts</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60,00</w:t>
            </w:r>
          </w:p>
        </w:tc>
      </w:tr>
      <w:tr w:rsidR="00967B5A" w:rsidRPr="00967B5A" w:rsidTr="006B15AE">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1.10.Palīgēku rekonstrukcija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r>
      <w:tr w:rsidR="00967B5A" w:rsidRPr="00967B5A" w:rsidTr="006B15AE">
        <w:trPr>
          <w:trHeight w:val="285"/>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1.11.Sabiedriskas nozīmes un pakalpojumu ēkas (t.sk. kempingi)</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60,00</w:t>
            </w:r>
          </w:p>
        </w:tc>
      </w:tr>
      <w:tr w:rsidR="00967B5A" w:rsidRPr="00967B5A" w:rsidTr="006B15AE">
        <w:trPr>
          <w:trHeight w:val="33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300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80,00</w:t>
            </w:r>
          </w:p>
        </w:tc>
      </w:tr>
      <w:tr w:rsidR="00967B5A" w:rsidRPr="00967B5A" w:rsidTr="006B15AE">
        <w:trPr>
          <w:trHeight w:val="195"/>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300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tc>
      </w:tr>
      <w:tr w:rsidR="00967B5A" w:rsidRPr="00967B5A" w:rsidTr="006B15AE">
        <w:trPr>
          <w:trHeight w:val="330"/>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1.12. Sabiedriskas nozīmes un pakalpojumu ēkas rekonstrukcija (t.sk. kempingi)</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r>
      <w:tr w:rsidR="00967B5A" w:rsidRPr="00967B5A" w:rsidTr="006B15AE">
        <w:trPr>
          <w:trHeight w:val="15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300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rPr>
          <w:trHeight w:val="111"/>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300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r>
      <w:tr w:rsidR="00967B5A" w:rsidRPr="00967B5A" w:rsidTr="006B15AE">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u w:val="single"/>
                <w:lang w:eastAsia="ar-SA"/>
              </w:rPr>
            </w:pPr>
            <w:r w:rsidRPr="00967B5A">
              <w:rPr>
                <w:rFonts w:ascii="Times New Roman" w:eastAsia="Times New Roman" w:hAnsi="Times New Roman" w:cs="Times New Roman"/>
                <w:b/>
                <w:bCs/>
                <w:iCs/>
                <w:kern w:val="1"/>
                <w:sz w:val="24"/>
                <w:szCs w:val="24"/>
                <w:u w:val="single"/>
                <w:lang w:eastAsia="ar-SA"/>
              </w:rPr>
              <w:t>1.13.Laukumi</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1.13.1.stāvlaukumi</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1.13.2.kravas laukumi</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70,00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140,00</w:t>
            </w:r>
          </w:p>
        </w:tc>
      </w:tr>
      <w:tr w:rsidR="00967B5A" w:rsidRPr="00967B5A" w:rsidTr="006B15AE">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
                <w:bCs/>
                <w:iCs/>
                <w:kern w:val="1"/>
                <w:sz w:val="24"/>
                <w:szCs w:val="24"/>
                <w:u w:val="single"/>
                <w:lang w:eastAsia="ar-SA"/>
              </w:rPr>
            </w:pPr>
            <w:r w:rsidRPr="00967B5A">
              <w:rPr>
                <w:rFonts w:ascii="Times New Roman" w:eastAsia="Times New Roman" w:hAnsi="Times New Roman" w:cs="Times New Roman"/>
                <w:b/>
                <w:bCs/>
                <w:iCs/>
                <w:kern w:val="1"/>
                <w:sz w:val="24"/>
                <w:szCs w:val="24"/>
                <w:u w:val="single"/>
                <w:lang w:eastAsia="ar-SA"/>
              </w:rPr>
              <w:t>1.14.Laukumu rekonstrukcija</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1.14.1.stāvlaukumi</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1.14.2.kravas laukumi</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25,00</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70,00</w:t>
            </w:r>
          </w:p>
        </w:tc>
      </w:tr>
      <w:tr w:rsidR="00967B5A" w:rsidRPr="00967B5A" w:rsidTr="006B15AE">
        <w:trPr>
          <w:trHeight w:val="315"/>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1.15.Ielu, ceļu jaunbūves</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 km</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80,00</w:t>
            </w:r>
          </w:p>
        </w:tc>
      </w:tr>
      <w:tr w:rsidR="00967B5A" w:rsidRPr="00967B5A" w:rsidTr="006B15AE">
        <w:trPr>
          <w:trHeight w:val="15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3 km</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60,00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120,00</w:t>
            </w:r>
          </w:p>
        </w:tc>
      </w:tr>
      <w:tr w:rsidR="00967B5A" w:rsidRPr="00967B5A" w:rsidTr="006B15AE">
        <w:trPr>
          <w:trHeight w:val="111"/>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3 km</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80,00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160,00</w:t>
            </w:r>
          </w:p>
        </w:tc>
      </w:tr>
      <w:tr w:rsidR="00967B5A" w:rsidRPr="00967B5A" w:rsidTr="006B15AE">
        <w:trPr>
          <w:trHeight w:val="135"/>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1.16.Ielu, ceļu rekonstrukcija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 km</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rPr>
          <w:trHeight w:val="15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3 km</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60,00</w:t>
            </w:r>
          </w:p>
        </w:tc>
      </w:tr>
      <w:tr w:rsidR="00967B5A" w:rsidRPr="00967B5A" w:rsidTr="006B15AE">
        <w:trPr>
          <w:trHeight w:val="12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3 km</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80,00</w:t>
            </w:r>
          </w:p>
        </w:tc>
      </w:tr>
      <w:tr w:rsidR="00967B5A" w:rsidRPr="00967B5A" w:rsidTr="006B15AE">
        <w:trPr>
          <w:trHeight w:val="240"/>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1.17.Ražošanas objekti (t.sk. angāri)</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tc>
      </w:tr>
      <w:tr w:rsidR="00967B5A" w:rsidRPr="00967B5A" w:rsidTr="006B15AE">
        <w:trPr>
          <w:trHeight w:val="18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500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200,00</w:t>
            </w:r>
          </w:p>
        </w:tc>
      </w:tr>
      <w:tr w:rsidR="00967B5A" w:rsidRPr="00967B5A" w:rsidTr="006B15AE">
        <w:trPr>
          <w:trHeight w:val="105"/>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500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300,00</w:t>
            </w:r>
          </w:p>
        </w:tc>
      </w:tr>
      <w:tr w:rsidR="00967B5A" w:rsidRPr="00967B5A" w:rsidTr="006B15AE">
        <w:trPr>
          <w:trHeight w:val="165"/>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1.18.Ražošanas objektu rekonstrukcija (t.sk. angāri)</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r>
      <w:tr w:rsidR="00967B5A" w:rsidRPr="00967B5A" w:rsidTr="006B15AE">
        <w:trPr>
          <w:trHeight w:val="135"/>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500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tc>
      </w:tr>
      <w:tr w:rsidR="00967B5A" w:rsidRPr="00967B5A" w:rsidTr="006B15AE">
        <w:trPr>
          <w:trHeight w:val="126"/>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500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150,00</w:t>
            </w:r>
          </w:p>
        </w:tc>
      </w:tr>
      <w:tr w:rsidR="00967B5A" w:rsidRPr="00967B5A" w:rsidTr="006B15AE">
        <w:trPr>
          <w:trHeight w:val="345"/>
        </w:trPr>
        <w:tc>
          <w:tcPr>
            <w:tcW w:w="3948" w:type="dxa"/>
            <w:vMerge w:val="restart"/>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1.19.Lauksaimniecības ražošanas palīgēka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rPr>
          <w:trHeight w:val="210"/>
        </w:trPr>
        <w:tc>
          <w:tcPr>
            <w:tcW w:w="3948" w:type="dxa"/>
            <w:vMerge/>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Virs 250</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80,00</w:t>
            </w:r>
          </w:p>
        </w:tc>
      </w:tr>
      <w:tr w:rsidR="00967B5A" w:rsidRPr="00967B5A" w:rsidTr="006B15AE">
        <w:trPr>
          <w:trHeight w:val="210"/>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1.20. Inženierbūves</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80,00</w:t>
            </w:r>
          </w:p>
        </w:tc>
      </w:tr>
      <w:tr w:rsidR="00967B5A" w:rsidRPr="00967B5A" w:rsidTr="006B15AE">
        <w:trPr>
          <w:trHeight w:val="210"/>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lastRenderedPageBreak/>
              <w:t>1.21. Inženierbūves rekonstrukcija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rPr>
          <w:trHeight w:val="210"/>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1.22. Teritorijas labiekārtošana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rPr>
          <w:trHeight w:val="210"/>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1.23. Ūdensvadu un kanalizācijas trases izbūve</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100,00</w:t>
            </w:r>
          </w:p>
        </w:tc>
      </w:tr>
      <w:tr w:rsidR="00967B5A" w:rsidRPr="00967B5A" w:rsidTr="006B15AE">
        <w:trPr>
          <w:trHeight w:val="210"/>
        </w:trPr>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1.24. Ūdensvadu un kanalizācijas trases izbūve rekonstrukcija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Līdz 1 km</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25,00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50,00</w:t>
            </w:r>
          </w:p>
        </w:tc>
      </w:tr>
      <w:tr w:rsidR="00967B5A" w:rsidRPr="00967B5A" w:rsidTr="006B15AE">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1.25.Ēku nojaukšana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r w:rsidR="00967B5A" w:rsidRPr="00967B5A" w:rsidTr="006B15AE">
        <w:tc>
          <w:tcPr>
            <w:tcW w:w="3948"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1.26. Būvatļaujas pagarināšana</w:t>
            </w:r>
          </w:p>
        </w:tc>
        <w:tc>
          <w:tcPr>
            <w:tcW w:w="1547"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tc>
        <w:tc>
          <w:tcPr>
            <w:tcW w:w="1984" w:type="dxa"/>
            <w:gridSpan w:val="2"/>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20,00</w:t>
            </w:r>
          </w:p>
        </w:tc>
        <w:tc>
          <w:tcPr>
            <w:tcW w:w="1421" w:type="dxa"/>
          </w:tcPr>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40,00</w:t>
            </w:r>
          </w:p>
        </w:tc>
      </w:tr>
    </w:tbl>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p>
    <w:p w:rsidR="00967B5A" w:rsidRPr="00967B5A" w:rsidRDefault="00967B5A" w:rsidP="00967B5A">
      <w:pPr>
        <w:tabs>
          <w:tab w:val="left" w:pos="993"/>
        </w:tabs>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
          <w:bCs/>
          <w:iCs/>
          <w:kern w:val="1"/>
          <w:sz w:val="24"/>
          <w:szCs w:val="24"/>
          <w:lang w:eastAsia="ar-SA"/>
        </w:rPr>
        <w:t>1.3.</w:t>
      </w:r>
      <w:r w:rsidRPr="00967B5A">
        <w:rPr>
          <w:rFonts w:ascii="Times New Roman" w:eastAsia="Times New Roman" w:hAnsi="Times New Roman" w:cs="Times New Roman"/>
          <w:bCs/>
          <w:iCs/>
          <w:kern w:val="1"/>
          <w:sz w:val="24"/>
          <w:szCs w:val="24"/>
          <w:lang w:eastAsia="ar-SA"/>
        </w:rPr>
        <w:t xml:space="preserve"> Izteikt Rojas novada pašvaldības 2009.gada 20.janvāra saistošo noteikumu Nr.2/2009 „Nodeva par būvatļaujas saņemšanu” 2.punktu, šādā redakcijā:</w:t>
      </w:r>
    </w:p>
    <w:p w:rsidR="00967B5A" w:rsidRPr="00967B5A" w:rsidRDefault="00967B5A" w:rsidP="00967B5A">
      <w:pPr>
        <w:tabs>
          <w:tab w:val="left" w:pos="993"/>
        </w:tabs>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„2.</w:t>
      </w:r>
      <w:r w:rsidRPr="00967B5A">
        <w:rPr>
          <w:rFonts w:ascii="Times New Roman" w:eastAsia="Times New Roman" w:hAnsi="Times New Roman" w:cs="Times New Roman"/>
          <w:sz w:val="24"/>
          <w:szCs w:val="24"/>
        </w:rPr>
        <w:t xml:space="preserve"> </w:t>
      </w:r>
      <w:r w:rsidRPr="00967B5A">
        <w:rPr>
          <w:rFonts w:ascii="Times New Roman" w:eastAsia="Times New Roman" w:hAnsi="Times New Roman" w:cs="Times New Roman"/>
          <w:bCs/>
          <w:iCs/>
          <w:kern w:val="1"/>
          <w:sz w:val="24"/>
          <w:szCs w:val="24"/>
          <w:lang w:eastAsia="ar-SA"/>
        </w:rPr>
        <w:t>Fiziskajām personām, kuru dzīves vieta ir deklarētā Rojas novadā un juridiskām personām, kuru juridiskā adrese Uzņēmumu reģistrā ir norādīta Rojas novadā nodevām tiek piemērota 20 % atlaide.”</w:t>
      </w:r>
    </w:p>
    <w:p w:rsidR="00967B5A" w:rsidRPr="00967B5A" w:rsidRDefault="00967B5A" w:rsidP="00967B5A">
      <w:pPr>
        <w:tabs>
          <w:tab w:val="left" w:pos="993"/>
        </w:tabs>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
          <w:bCs/>
          <w:iCs/>
          <w:kern w:val="1"/>
          <w:sz w:val="24"/>
          <w:szCs w:val="24"/>
          <w:lang w:eastAsia="ar-SA"/>
        </w:rPr>
        <w:t>1.4.</w:t>
      </w:r>
      <w:r w:rsidRPr="00967B5A">
        <w:rPr>
          <w:rFonts w:ascii="Times New Roman" w:eastAsia="Times New Roman" w:hAnsi="Times New Roman" w:cs="Times New Roman"/>
          <w:bCs/>
          <w:iCs/>
          <w:kern w:val="1"/>
          <w:sz w:val="24"/>
          <w:szCs w:val="24"/>
          <w:lang w:eastAsia="ar-SA"/>
        </w:rPr>
        <w:t xml:space="preserve"> Izteikt Rojas novada pašvaldības 2009.gada 20.janvāra saistošo noteikumu Nr.2/2009 „Nodeva par būvatļaujas saņemšanu” 3.punktu, šādā redakcijā: </w:t>
      </w:r>
    </w:p>
    <w:p w:rsidR="00967B5A" w:rsidRPr="00967B5A" w:rsidRDefault="00967B5A" w:rsidP="00967B5A">
      <w:pPr>
        <w:suppressAutoHyphens/>
        <w:spacing w:after="0" w:line="100" w:lineRule="atLeast"/>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„3. Nodeva iemaksājama Rojas novada domes bankas kontos vai kasē.</w:t>
      </w:r>
      <w:r w:rsidRPr="00967B5A">
        <w:rPr>
          <w:rFonts w:ascii="Times New Roman" w:eastAsia="Times New Roman" w:hAnsi="Times New Roman" w:cs="Times New Roman"/>
          <w:kern w:val="1"/>
          <w:sz w:val="24"/>
          <w:szCs w:val="24"/>
          <w:lang w:eastAsia="ar-SA"/>
        </w:rPr>
        <w:t xml:space="preserve"> </w:t>
      </w:r>
      <w:r w:rsidRPr="00967B5A">
        <w:rPr>
          <w:rFonts w:ascii="Times New Roman" w:eastAsia="Times New Roman" w:hAnsi="Times New Roman" w:cs="Times New Roman"/>
          <w:bCs/>
          <w:iCs/>
          <w:kern w:val="1"/>
          <w:sz w:val="24"/>
          <w:szCs w:val="24"/>
          <w:lang w:eastAsia="ar-SA"/>
        </w:rPr>
        <w:t>Nodeva par būvatļauju saņemšanu maksājama 50 % apmērā maksājama 5 (piecu) darba dienu laikā pēc būvatļaujas saņemšanas, atlikušos 50 % no nodevas samaksā pirms dokumentu iesniegšanas būvvaldē par būvatļaujā ietverto projektēšanas nosacījumu izpildi.”</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
          <w:bCs/>
          <w:iCs/>
          <w:kern w:val="1"/>
          <w:sz w:val="24"/>
          <w:szCs w:val="24"/>
          <w:lang w:eastAsia="ar-SA"/>
        </w:rPr>
        <w:t>1.5.</w:t>
      </w:r>
      <w:r w:rsidRPr="00967B5A">
        <w:rPr>
          <w:rFonts w:ascii="Times New Roman" w:eastAsia="Times New Roman" w:hAnsi="Times New Roman" w:cs="Times New Roman"/>
          <w:bCs/>
          <w:iCs/>
          <w:kern w:val="1"/>
          <w:sz w:val="24"/>
          <w:szCs w:val="24"/>
          <w:lang w:eastAsia="ar-SA"/>
        </w:rPr>
        <w:t xml:space="preserve"> Papildināt Rojas novada pašvaldības 2009.gada 20.janvāra saistošos noteikumus Nr.2/2009 „Nodeva par būvatļaujas saņemšanu” ar 5.punktu un 6.punktu, šādā redakcijā:</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Cs/>
          <w:iCs/>
          <w:kern w:val="1"/>
          <w:sz w:val="24"/>
          <w:szCs w:val="24"/>
          <w:lang w:eastAsia="ar-SA"/>
        </w:rPr>
        <w:t xml:space="preserve">„5. Gadījumā, ja būvatļauja tiek dota kompleksa rakstura objektam, kura funkcionēšanas nodrošināšanai tiek paredzēts izbūvēt </w:t>
      </w:r>
      <w:proofErr w:type="spellStart"/>
      <w:r w:rsidRPr="00967B5A">
        <w:rPr>
          <w:rFonts w:ascii="Times New Roman" w:eastAsia="Times New Roman" w:hAnsi="Times New Roman" w:cs="Times New Roman"/>
          <w:bCs/>
          <w:iCs/>
          <w:kern w:val="1"/>
          <w:sz w:val="24"/>
          <w:szCs w:val="24"/>
          <w:lang w:eastAsia="ar-SA"/>
        </w:rPr>
        <w:t>autonovietni</w:t>
      </w:r>
      <w:proofErr w:type="spellEnd"/>
      <w:r w:rsidRPr="00967B5A">
        <w:rPr>
          <w:rFonts w:ascii="Times New Roman" w:eastAsia="Times New Roman" w:hAnsi="Times New Roman" w:cs="Times New Roman"/>
          <w:bCs/>
          <w:iCs/>
          <w:kern w:val="1"/>
          <w:sz w:val="24"/>
          <w:szCs w:val="24"/>
          <w:lang w:eastAsia="ar-SA"/>
        </w:rPr>
        <w:t xml:space="preserve"> vairāk nekā 20 automašīnām, un kurai netiek saņemta atsevišķa būvatļauja, kopējo nodevas apmēru veido nodeva par galveno objektu un nodeva par </w:t>
      </w:r>
      <w:proofErr w:type="spellStart"/>
      <w:r w:rsidRPr="00967B5A">
        <w:rPr>
          <w:rFonts w:ascii="Times New Roman" w:eastAsia="Times New Roman" w:hAnsi="Times New Roman" w:cs="Times New Roman"/>
          <w:bCs/>
          <w:iCs/>
          <w:kern w:val="1"/>
          <w:sz w:val="24"/>
          <w:szCs w:val="24"/>
          <w:lang w:eastAsia="ar-SA"/>
        </w:rPr>
        <w:t>autonovietni</w:t>
      </w:r>
      <w:proofErr w:type="spellEnd"/>
      <w:r w:rsidRPr="00967B5A">
        <w:rPr>
          <w:rFonts w:ascii="Times New Roman" w:eastAsia="Times New Roman" w:hAnsi="Times New Roman" w:cs="Times New Roman"/>
          <w:bCs/>
          <w:iCs/>
          <w:kern w:val="1"/>
          <w:sz w:val="24"/>
          <w:szCs w:val="24"/>
          <w:lang w:eastAsia="ar-SA"/>
        </w:rPr>
        <w:t>.</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bCs/>
          <w:iCs/>
          <w:kern w:val="1"/>
          <w:sz w:val="24"/>
          <w:szCs w:val="24"/>
          <w:lang w:eastAsia="ar-SA"/>
        </w:rPr>
      </w:pPr>
      <w:r w:rsidRPr="00967B5A">
        <w:rPr>
          <w:rFonts w:ascii="Times New Roman" w:eastAsia="Times New Roman" w:hAnsi="Times New Roman" w:cs="Times New Roman"/>
          <w:b/>
          <w:bCs/>
          <w:iCs/>
          <w:kern w:val="1"/>
          <w:sz w:val="24"/>
          <w:szCs w:val="24"/>
          <w:lang w:eastAsia="ar-SA"/>
        </w:rPr>
        <w:t>1.6.</w:t>
      </w:r>
      <w:r w:rsidRPr="00967B5A">
        <w:rPr>
          <w:rFonts w:ascii="Times New Roman" w:eastAsia="Times New Roman" w:hAnsi="Times New Roman" w:cs="Times New Roman"/>
          <w:bCs/>
          <w:iCs/>
          <w:kern w:val="1"/>
          <w:sz w:val="24"/>
          <w:szCs w:val="24"/>
          <w:lang w:eastAsia="ar-SA"/>
        </w:rPr>
        <w:t xml:space="preserve"> Gadījumā, ja dzīvojamās mājas būvprojektā tiek paredzēta palīgēka (saimniecības ēka) un/vai peldbaseins, kuru būvniecībai netiek saņemta atsevišķa būvatļauja, kopējo nodevas apmēru veido nodeva par dzīvojamo māju un nodeva par palīgēku (saimniecības ēku) un/vai peldbaseinu.”.</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b/>
          <w:bCs/>
          <w:iCs/>
          <w:kern w:val="1"/>
          <w:sz w:val="24"/>
          <w:szCs w:val="24"/>
          <w:lang w:eastAsia="ar-SA"/>
        </w:rPr>
        <w:t>2</w:t>
      </w:r>
      <w:r w:rsidRPr="00967B5A">
        <w:rPr>
          <w:rFonts w:ascii="Times New Roman" w:eastAsia="Times New Roman" w:hAnsi="Times New Roman" w:cs="Times New Roman"/>
          <w:b/>
          <w:kern w:val="1"/>
          <w:sz w:val="24"/>
          <w:szCs w:val="24"/>
          <w:lang w:eastAsia="ar-SA"/>
        </w:rPr>
        <w:t>.</w:t>
      </w:r>
      <w:r w:rsidRPr="00967B5A">
        <w:rPr>
          <w:rFonts w:ascii="Times New Roman" w:eastAsia="Times New Roman" w:hAnsi="Times New Roman" w:cs="Times New Roman"/>
          <w:kern w:val="1"/>
          <w:sz w:val="24"/>
          <w:szCs w:val="24"/>
          <w:lang w:eastAsia="ar-SA"/>
        </w:rPr>
        <w:t xml:space="preserve"> Saistošie noteikumi publicējami informatīvajā izdevumā „Banga” un stājas spēkā likuma „Par pašvaldībām” 45.pantā noteiktajā kārtībā.</w:t>
      </w: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line="100" w:lineRule="atLeast"/>
        <w:ind w:firstLine="709"/>
        <w:jc w:val="both"/>
        <w:rPr>
          <w:rFonts w:ascii="Times New Roman" w:eastAsia="Times New Roman" w:hAnsi="Times New Roman" w:cs="Times New Roman"/>
          <w:kern w:val="1"/>
          <w:sz w:val="24"/>
          <w:szCs w:val="24"/>
          <w:lang w:eastAsia="ar-SA"/>
        </w:rPr>
      </w:pPr>
      <w:bookmarkStart w:id="0" w:name="_GoBack"/>
      <w:bookmarkEnd w:id="0"/>
    </w:p>
    <w:p w:rsidR="00967B5A" w:rsidRPr="00967B5A" w:rsidRDefault="00967B5A" w:rsidP="00967B5A">
      <w:pPr>
        <w:suppressAutoHyphens/>
        <w:spacing w:after="0" w:line="100" w:lineRule="atLeast"/>
        <w:ind w:firstLine="709"/>
        <w:jc w:val="both"/>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Domes priekšsēdētāja</w:t>
      </w:r>
      <w:r w:rsidRPr="00967B5A">
        <w:rPr>
          <w:rFonts w:ascii="Times New Roman" w:eastAsia="Times New Roman" w:hAnsi="Times New Roman" w:cs="Times New Roman"/>
          <w:kern w:val="1"/>
          <w:sz w:val="24"/>
          <w:szCs w:val="24"/>
          <w:lang w:eastAsia="ar-SA"/>
        </w:rPr>
        <w:tab/>
      </w:r>
      <w:r w:rsidRPr="00967B5A">
        <w:rPr>
          <w:rFonts w:ascii="Times New Roman" w:eastAsia="Times New Roman" w:hAnsi="Times New Roman" w:cs="Times New Roman"/>
          <w:kern w:val="1"/>
          <w:sz w:val="24"/>
          <w:szCs w:val="24"/>
          <w:lang w:eastAsia="ar-SA"/>
        </w:rPr>
        <w:tab/>
        <w:t xml:space="preserve">                                           </w:t>
      </w:r>
      <w:r w:rsidRPr="00967B5A">
        <w:rPr>
          <w:rFonts w:ascii="Times New Roman" w:eastAsia="Times New Roman" w:hAnsi="Times New Roman" w:cs="Times New Roman"/>
          <w:kern w:val="1"/>
          <w:sz w:val="24"/>
          <w:szCs w:val="24"/>
          <w:lang w:eastAsia="ar-SA"/>
        </w:rPr>
        <w:tab/>
        <w:t>E.Kārkliņa</w:t>
      </w: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jc w:val="center"/>
        <w:rPr>
          <w:rFonts w:ascii="Times New Roman" w:eastAsia="Times New Roman" w:hAnsi="Times New Roman" w:cs="Times New Roman"/>
          <w:b/>
          <w:kern w:val="1"/>
          <w:sz w:val="24"/>
          <w:szCs w:val="24"/>
          <w:lang w:eastAsia="ar-SA"/>
        </w:rPr>
      </w:pPr>
      <w:r w:rsidRPr="00967B5A">
        <w:rPr>
          <w:rFonts w:ascii="Times New Roman" w:eastAsia="Times New Roman" w:hAnsi="Times New Roman" w:cs="Times New Roman"/>
          <w:b/>
          <w:kern w:val="1"/>
          <w:sz w:val="24"/>
          <w:szCs w:val="24"/>
          <w:lang w:eastAsia="ar-SA"/>
        </w:rPr>
        <w:lastRenderedPageBreak/>
        <w:t>Paskaidrojuma raksts Rojas novada pašvaldības 2015.gada 21.aprīļa saistošo noteikumu</w:t>
      </w:r>
      <w:r w:rsidRPr="00967B5A">
        <w:rPr>
          <w:rFonts w:ascii="Times New Roman" w:eastAsia="Times New Roman" w:hAnsi="Times New Roman" w:cs="Times New Roman"/>
          <w:b/>
          <w:bCs/>
          <w:kern w:val="1"/>
          <w:sz w:val="24"/>
          <w:szCs w:val="24"/>
          <w:lang w:eastAsia="ar-SA"/>
        </w:rPr>
        <w:t xml:space="preserve"> Nr.6/2015 „ </w:t>
      </w:r>
      <w:r w:rsidRPr="00967B5A">
        <w:rPr>
          <w:rFonts w:ascii="Times New Roman" w:eastAsia="Times New Roman" w:hAnsi="Times New Roman" w:cs="Times New Roman"/>
          <w:b/>
          <w:bCs/>
          <w:iCs/>
          <w:kern w:val="1"/>
          <w:sz w:val="24"/>
          <w:szCs w:val="24"/>
          <w:lang w:eastAsia="ar-SA"/>
        </w:rPr>
        <w:t xml:space="preserve">Par grozījumiem saistošajos noteikumos Nr.2/2009 „Nodeva par būvatļaujas saņemšanu””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9"/>
        <w:gridCol w:w="6662"/>
      </w:tblGrid>
      <w:tr w:rsidR="00967B5A" w:rsidRPr="00967B5A" w:rsidTr="006B15AE">
        <w:trPr>
          <w:trHeight w:val="630"/>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b/>
                <w:kern w:val="1"/>
                <w:sz w:val="24"/>
                <w:szCs w:val="24"/>
                <w:lang w:eastAsia="ar-SA"/>
              </w:rPr>
            </w:pPr>
            <w:r w:rsidRPr="00967B5A">
              <w:rPr>
                <w:rFonts w:ascii="Times New Roman" w:eastAsia="Times New Roman" w:hAnsi="Times New Roman" w:cs="Times New Roman"/>
                <w:b/>
                <w:kern w:val="1"/>
                <w:sz w:val="24"/>
                <w:szCs w:val="24"/>
                <w:lang w:eastAsia="ar-SA"/>
              </w:rPr>
              <w:t>Sadaļas nosaukums</w:t>
            </w:r>
          </w:p>
        </w:tc>
        <w:tc>
          <w:tcPr>
            <w:tcW w:w="6662"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b/>
                <w:kern w:val="1"/>
                <w:sz w:val="24"/>
                <w:szCs w:val="24"/>
                <w:lang w:eastAsia="ar-SA"/>
              </w:rPr>
            </w:pPr>
            <w:r w:rsidRPr="00967B5A">
              <w:rPr>
                <w:rFonts w:ascii="Times New Roman" w:eastAsia="Times New Roman" w:hAnsi="Times New Roman" w:cs="Times New Roman"/>
                <w:b/>
                <w:kern w:val="1"/>
                <w:sz w:val="24"/>
                <w:szCs w:val="24"/>
                <w:lang w:eastAsia="ar-SA"/>
              </w:rPr>
              <w:t>Sadaļas paskaidrojums</w:t>
            </w:r>
          </w:p>
        </w:tc>
      </w:tr>
      <w:tr w:rsidR="00967B5A" w:rsidRPr="00967B5A" w:rsidTr="006B15AE">
        <w:trPr>
          <w:trHeight w:val="472"/>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1.Projekta nepieciešamības pamatojums</w:t>
            </w:r>
          </w:p>
        </w:tc>
        <w:tc>
          <w:tcPr>
            <w:tcW w:w="6662"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jc w:val="both"/>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 xml:space="preserve">Ar 2014. gada 1. maiju stājas spēkā jauns būvniecības process, kas izriet no 2013.gada 9.jūlijā Saeimā pieņemtā jaunā Būvniecības likuma - būvatļauja tiek izsniegta pamatojoties uz būvniecības ieceres iesniegumu un būvprojektu minimālā sastāvā, kas ir izstrādāts atbilstoši teritorijas izmantošanas un apbūves noteikumos noteiktajām prasībām, tādējādi būvvaldei nebūs jāizdod plānošanas un arhitektūras uzdevums. </w:t>
            </w:r>
          </w:p>
          <w:p w:rsidR="00967B5A" w:rsidRPr="00967B5A" w:rsidRDefault="00967B5A" w:rsidP="00967B5A">
            <w:pPr>
              <w:suppressAutoHyphens/>
              <w:spacing w:after="0"/>
              <w:jc w:val="both"/>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 xml:space="preserve">Noteikumu projekts nosaka pašvaldības nodevas par būvatļaujas izsniegšanu maksāšanas kārtību atbilstoši jaunajam būvniecības regulējumam. </w:t>
            </w:r>
            <w:r w:rsidRPr="00967B5A">
              <w:rPr>
                <w:rFonts w:ascii="Times New Roman" w:eastAsia="Times New Roman" w:hAnsi="Times New Roman" w:cs="Times New Roman"/>
                <w:bCs/>
                <w:iCs/>
                <w:kern w:val="1"/>
                <w:sz w:val="24"/>
                <w:szCs w:val="24"/>
                <w:lang w:eastAsia="ar-SA"/>
              </w:rPr>
              <w:t xml:space="preserve">Ministru kabineta 28.06.2005. noteikumu Nr.480 „Noteikumi par kārtību, kādā pašvaldības var uzlikt pašvaldību nodevas” 15.punkts nosaka: „15. Nodevas par būvatļaujas saņemšanu pašvaldība ir tiesīga uzlikt personām, kuras, saskaņojot būvniecību, saņem no vietējās pašvaldības būvvaldes būvatļauju būvniecību reglamentējošos normatīvajos aktos noteiktajā kārtībā. Nodeva 50 % apmērā maksājama pēc būvatļaujas saņemšanas būvvaldes noteiktajā termiņā. Atlikušos 50 % no nodevas samaksā pirms dokumentu iesniegšanas būvvaldē par būvatļaujā ietverto projektēšanas nosacījumu izpildi. Ja būvatļaujas nosacījumi netiek izpildīti vai būvatļauja netiek realizēta, iekasēto pašvaldības nodevu neatmaksā.” </w:t>
            </w:r>
            <w:r w:rsidRPr="00967B5A">
              <w:rPr>
                <w:rFonts w:ascii="Times New Roman" w:eastAsia="Times New Roman" w:hAnsi="Times New Roman" w:cs="Times New Roman"/>
                <w:kern w:val="1"/>
                <w:sz w:val="24"/>
                <w:szCs w:val="24"/>
                <w:lang w:eastAsia="ar-SA"/>
              </w:rPr>
              <w:t>Atbilstoši Būvniecības likuma 14. pantam, izskatot būvniecības ieceres iesniegumu, būvvalde lemj par būvatļaujas izdošanu. Saistošie noteikumi precizēti atbilstoši Vides aizsardzības un reģionālās attīstības ministrijas 19.05.2015. rakstam Nr.18-6/4117, izslēdzot no tiem tekstu, kas attiecās uz jēdzienu: „būvniecības ieceres akcepts, izdarot atzīmi paskaidrojuma rakstā vai apliecinājuma kartē”.</w:t>
            </w:r>
          </w:p>
        </w:tc>
      </w:tr>
      <w:tr w:rsidR="00967B5A" w:rsidRPr="00967B5A" w:rsidTr="006B15AE">
        <w:trPr>
          <w:trHeight w:val="642"/>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2.Īss projekta satura izklāsts</w:t>
            </w:r>
          </w:p>
        </w:tc>
        <w:tc>
          <w:tcPr>
            <w:tcW w:w="6662"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Noteikumu projekts paredz precizēt nodevu objektus un apmērus, diferencē nodevas apmērus fiziskajām personām un juridiskajām personām un nosaka, ka nodeva 50% apmērā maksājama pēc būvatļaujas saņemšanas būvvaldes noteiktajā termiņā, savukārt atlikušos 50% no nodevas samaksā pirms dokumentu iesniegšanas būvvaldē par būvatļaujā ietverto projektēšanas nosacījumu izpildi. Saistošie noteikumi nosaka, ka f</w:t>
            </w:r>
            <w:r w:rsidRPr="00967B5A">
              <w:rPr>
                <w:rFonts w:ascii="Times New Roman" w:eastAsia="Times New Roman" w:hAnsi="Times New Roman" w:cs="Times New Roman"/>
                <w:bCs/>
                <w:iCs/>
                <w:kern w:val="1"/>
                <w:sz w:val="24"/>
                <w:szCs w:val="24"/>
                <w:lang w:eastAsia="ar-SA"/>
              </w:rPr>
              <w:t>iziskajām personām, kuru dzīves vieta ir deklarētā Rojas novadā un juridiskām personām, kuru juridiskā adrese Uzņēmumu reģistrā ir norādīta Rojas novadā, nodevām tiek piemērota 20 % atlaide.</w:t>
            </w:r>
          </w:p>
        </w:tc>
      </w:tr>
      <w:tr w:rsidR="00967B5A" w:rsidRPr="00967B5A" w:rsidTr="006B15AE">
        <w:trPr>
          <w:trHeight w:val="384"/>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3. Informācija par plānoto projekta ietekmi uz pašvaldības budžetu</w:t>
            </w:r>
          </w:p>
        </w:tc>
        <w:tc>
          <w:tcPr>
            <w:tcW w:w="6662"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bCs/>
                <w:kern w:val="1"/>
                <w:sz w:val="24"/>
                <w:szCs w:val="24"/>
                <w:lang w:eastAsia="ar-SA"/>
              </w:rPr>
              <w:t>Informācija netiek iekļauta saskaņā ar likuma „Par pašvaldībām” 43.</w:t>
            </w:r>
            <w:r w:rsidRPr="00967B5A">
              <w:rPr>
                <w:rFonts w:ascii="Times New Roman" w:eastAsia="Times New Roman" w:hAnsi="Times New Roman" w:cs="Times New Roman"/>
                <w:bCs/>
                <w:kern w:val="1"/>
                <w:sz w:val="24"/>
                <w:szCs w:val="24"/>
                <w:vertAlign w:val="superscript"/>
                <w:lang w:eastAsia="ar-SA"/>
              </w:rPr>
              <w:t>1</w:t>
            </w:r>
            <w:r w:rsidRPr="00967B5A">
              <w:rPr>
                <w:rFonts w:ascii="Times New Roman" w:eastAsia="Times New Roman" w:hAnsi="Times New Roman" w:cs="Times New Roman"/>
                <w:bCs/>
                <w:kern w:val="1"/>
                <w:sz w:val="24"/>
                <w:szCs w:val="24"/>
                <w:lang w:eastAsia="ar-SA"/>
              </w:rPr>
              <w:t xml:space="preserve"> panta otro daļu.</w:t>
            </w:r>
            <w:r w:rsidRPr="00967B5A">
              <w:rPr>
                <w:rFonts w:ascii="Times New Roman" w:eastAsia="Times New Roman" w:hAnsi="Times New Roman" w:cs="Times New Roman"/>
                <w:kern w:val="1"/>
                <w:sz w:val="24"/>
                <w:szCs w:val="24"/>
                <w:lang w:eastAsia="ar-SA"/>
              </w:rPr>
              <w:t xml:space="preserve"> </w:t>
            </w:r>
            <w:r w:rsidRPr="00967B5A">
              <w:rPr>
                <w:rFonts w:ascii="Times New Roman" w:eastAsia="Times New Roman" w:hAnsi="Times New Roman" w:cs="Times New Roman"/>
                <w:bCs/>
                <w:kern w:val="1"/>
                <w:sz w:val="24"/>
                <w:szCs w:val="24"/>
                <w:lang w:eastAsia="ar-SA"/>
              </w:rPr>
              <w:t xml:space="preserve"> </w:t>
            </w:r>
          </w:p>
        </w:tc>
      </w:tr>
      <w:tr w:rsidR="00967B5A" w:rsidRPr="00967B5A" w:rsidTr="006B15AE">
        <w:trPr>
          <w:trHeight w:val="476"/>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lastRenderedPageBreak/>
              <w:t>4.Informācija par plānoto projekta ietekmi uz uzņēmējdarbības vidi pašvaldības teritorijā</w:t>
            </w:r>
          </w:p>
        </w:tc>
        <w:tc>
          <w:tcPr>
            <w:tcW w:w="6662"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Skaidrs un pārskatāms regulējums, nosakot nodevas, uzlabos uzņēmējdarbības vidi pašvaldības teritorijā.</w:t>
            </w:r>
          </w:p>
        </w:tc>
      </w:tr>
      <w:tr w:rsidR="00967B5A" w:rsidRPr="00967B5A" w:rsidTr="006B15AE">
        <w:trPr>
          <w:trHeight w:val="789"/>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5.Informācija par administratīvajām procedūrām</w:t>
            </w:r>
          </w:p>
        </w:tc>
        <w:tc>
          <w:tcPr>
            <w:tcW w:w="6662"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Nav attiecināms</w:t>
            </w:r>
          </w:p>
        </w:tc>
      </w:tr>
      <w:tr w:rsidR="00967B5A" w:rsidRPr="00967B5A" w:rsidTr="006B15AE">
        <w:trPr>
          <w:trHeight w:val="673"/>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6.Informācija par konsultācijām ar privātpersonām</w:t>
            </w:r>
          </w:p>
        </w:tc>
        <w:tc>
          <w:tcPr>
            <w:tcW w:w="6662" w:type="dxa"/>
            <w:tcBorders>
              <w:top w:val="outset" w:sz="6" w:space="0" w:color="auto"/>
              <w:left w:val="outset" w:sz="6" w:space="0" w:color="auto"/>
              <w:bottom w:val="outset" w:sz="6" w:space="0" w:color="auto"/>
              <w:right w:val="outset" w:sz="6" w:space="0" w:color="auto"/>
            </w:tcBorders>
            <w:hideMark/>
          </w:tcPr>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r w:rsidRPr="00967B5A">
              <w:rPr>
                <w:rFonts w:ascii="Times New Roman" w:eastAsia="Times New Roman" w:hAnsi="Times New Roman" w:cs="Times New Roman"/>
                <w:kern w:val="1"/>
                <w:sz w:val="24"/>
                <w:szCs w:val="24"/>
                <w:lang w:eastAsia="ar-SA"/>
              </w:rPr>
              <w:t>Nav attiecināms</w:t>
            </w:r>
          </w:p>
        </w:tc>
      </w:tr>
    </w:tbl>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967B5A" w:rsidRPr="00967B5A" w:rsidRDefault="00967B5A" w:rsidP="00967B5A">
      <w:pPr>
        <w:suppressAutoHyphens/>
        <w:spacing w:after="0"/>
        <w:rPr>
          <w:rFonts w:ascii="Times New Roman" w:eastAsia="Times New Roman" w:hAnsi="Times New Roman" w:cs="Times New Roman"/>
          <w:kern w:val="1"/>
          <w:sz w:val="24"/>
          <w:szCs w:val="24"/>
          <w:lang w:eastAsia="ar-SA"/>
        </w:rPr>
      </w:pPr>
    </w:p>
    <w:p w:rsidR="00E43EB6" w:rsidRPr="00967B5A" w:rsidRDefault="00967B5A" w:rsidP="00967B5A">
      <w:pPr>
        <w:rPr>
          <w:rFonts w:ascii="Times New Roman" w:hAnsi="Times New Roman" w:cs="Times New Roman"/>
          <w:sz w:val="24"/>
        </w:rPr>
      </w:pPr>
      <w:r w:rsidRPr="00967B5A">
        <w:rPr>
          <w:rFonts w:ascii="Times New Roman" w:eastAsia="Times New Roman" w:hAnsi="Times New Roman" w:cs="Times New Roman"/>
          <w:kern w:val="1"/>
          <w:sz w:val="24"/>
          <w:lang w:eastAsia="ar-SA"/>
        </w:rPr>
        <w:t>Domes priekšsēdētāja</w:t>
      </w:r>
      <w:r w:rsidRPr="00967B5A">
        <w:rPr>
          <w:rFonts w:ascii="Times New Roman" w:eastAsia="Times New Roman" w:hAnsi="Times New Roman" w:cs="Times New Roman"/>
          <w:kern w:val="1"/>
          <w:sz w:val="24"/>
          <w:lang w:eastAsia="ar-SA"/>
        </w:rPr>
        <w:tab/>
      </w:r>
      <w:r w:rsidRPr="00967B5A">
        <w:rPr>
          <w:rFonts w:ascii="Times New Roman" w:eastAsia="Times New Roman" w:hAnsi="Times New Roman" w:cs="Times New Roman"/>
          <w:kern w:val="1"/>
          <w:sz w:val="24"/>
          <w:lang w:eastAsia="ar-SA"/>
        </w:rPr>
        <w:tab/>
      </w:r>
      <w:r w:rsidRPr="00967B5A">
        <w:rPr>
          <w:rFonts w:ascii="Times New Roman" w:eastAsia="Times New Roman" w:hAnsi="Times New Roman" w:cs="Times New Roman"/>
          <w:kern w:val="1"/>
          <w:sz w:val="24"/>
          <w:lang w:eastAsia="ar-SA"/>
        </w:rPr>
        <w:tab/>
      </w:r>
      <w:r w:rsidRPr="00967B5A">
        <w:rPr>
          <w:rFonts w:ascii="Times New Roman" w:eastAsia="Times New Roman" w:hAnsi="Times New Roman" w:cs="Times New Roman"/>
          <w:kern w:val="1"/>
          <w:sz w:val="24"/>
          <w:lang w:eastAsia="ar-SA"/>
        </w:rPr>
        <w:tab/>
      </w:r>
      <w:r w:rsidRPr="00967B5A">
        <w:rPr>
          <w:rFonts w:ascii="Times New Roman" w:eastAsia="Times New Roman" w:hAnsi="Times New Roman" w:cs="Times New Roman"/>
          <w:kern w:val="1"/>
          <w:sz w:val="24"/>
          <w:lang w:eastAsia="ar-SA"/>
        </w:rPr>
        <w:tab/>
      </w:r>
      <w:r w:rsidRPr="00967B5A">
        <w:rPr>
          <w:rFonts w:ascii="Times New Roman" w:eastAsia="Times New Roman" w:hAnsi="Times New Roman" w:cs="Times New Roman"/>
          <w:kern w:val="1"/>
          <w:sz w:val="24"/>
          <w:lang w:eastAsia="ar-SA"/>
        </w:rPr>
        <w:tab/>
      </w:r>
      <w:r w:rsidRPr="00967B5A">
        <w:rPr>
          <w:rFonts w:ascii="Times New Roman" w:eastAsia="Times New Roman" w:hAnsi="Times New Roman" w:cs="Times New Roman"/>
          <w:kern w:val="1"/>
          <w:sz w:val="24"/>
          <w:lang w:eastAsia="ar-SA"/>
        </w:rPr>
        <w:tab/>
      </w:r>
      <w:r w:rsidRPr="00967B5A">
        <w:rPr>
          <w:rFonts w:ascii="Times New Roman" w:eastAsia="Times New Roman" w:hAnsi="Times New Roman" w:cs="Times New Roman"/>
          <w:kern w:val="1"/>
          <w:sz w:val="24"/>
          <w:lang w:eastAsia="ar-SA"/>
        </w:rPr>
        <w:tab/>
        <w:t>E.Kārkliņa</w:t>
      </w:r>
    </w:p>
    <w:sectPr w:rsidR="00E43EB6" w:rsidRPr="00967B5A" w:rsidSect="00967B5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009A"/>
    <w:multiLevelType w:val="hybridMultilevel"/>
    <w:tmpl w:val="DBE203A0"/>
    <w:lvl w:ilvl="0" w:tplc="4C92E3B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5A"/>
    <w:rsid w:val="001224CF"/>
    <w:rsid w:val="004E4EC3"/>
    <w:rsid w:val="00967B5A"/>
    <w:rsid w:val="00E43EB6"/>
    <w:rsid w:val="00FA5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4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4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5584</Words>
  <Characters>3184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cp:lastModifiedBy>
  <cp:revision>4</cp:revision>
  <dcterms:created xsi:type="dcterms:W3CDTF">2015-07-02T12:41:00Z</dcterms:created>
  <dcterms:modified xsi:type="dcterms:W3CDTF">2015-07-14T14:00:00Z</dcterms:modified>
</cp:coreProperties>
</file>